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D6" w:rsidRPr="007E7CD6" w:rsidRDefault="007E7CD6" w:rsidP="007E7CD6">
      <w:pPr>
        <w:jc w:val="center"/>
        <w:rPr>
          <w:b/>
          <w:sz w:val="28"/>
          <w:szCs w:val="28"/>
        </w:rPr>
      </w:pPr>
      <w:r w:rsidRPr="007E7CD6">
        <w:rPr>
          <w:b/>
          <w:sz w:val="28"/>
          <w:szCs w:val="28"/>
        </w:rPr>
        <w:t>Barclays Investments and Loans (India) Private Limited</w:t>
      </w:r>
      <w:proofErr w:type="gramStart"/>
      <w:r w:rsidRPr="007E7C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BILIPL)</w:t>
      </w:r>
    </w:p>
    <w:p w:rsidR="007E7CD6" w:rsidRPr="007E7CD6" w:rsidRDefault="007E7CD6" w:rsidP="007E7CD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 </w:t>
      </w:r>
      <w:r w:rsidRPr="007E7CD6">
        <w:rPr>
          <w:b/>
          <w:sz w:val="28"/>
          <w:szCs w:val="28"/>
        </w:rPr>
        <w:t>Pricing Policy</w:t>
      </w:r>
    </w:p>
    <w:p w:rsidR="007E7CD6" w:rsidRPr="007E7CD6" w:rsidRDefault="007E7CD6">
      <w:pPr>
        <w:rPr>
          <w:b/>
        </w:rPr>
      </w:pPr>
    </w:p>
    <w:p w:rsidR="00271E86" w:rsidRPr="007E7CD6" w:rsidRDefault="007E7CD6" w:rsidP="007E7CD6">
      <w:pPr>
        <w:jc w:val="center"/>
        <w:rPr>
          <w:i/>
        </w:rPr>
      </w:pPr>
      <w:r w:rsidRPr="007E7CD6">
        <w:rPr>
          <w:i/>
        </w:rPr>
        <w:t xml:space="preserve">Extract of the </w:t>
      </w:r>
      <w:r>
        <w:rPr>
          <w:i/>
        </w:rPr>
        <w:t>BILIPL Credit</w:t>
      </w:r>
      <w:r w:rsidRPr="007E7CD6">
        <w:rPr>
          <w:i/>
        </w:rPr>
        <w:t xml:space="preserve"> Policy </w:t>
      </w:r>
    </w:p>
    <w:p w:rsidR="007E7CD6" w:rsidRPr="009A0C38" w:rsidRDefault="007E7CD6" w:rsidP="007E7CD6">
      <w:pPr>
        <w:pStyle w:val="Heading1"/>
        <w:numPr>
          <w:ilvl w:val="0"/>
          <w:numId w:val="1"/>
        </w:numPr>
        <w:tabs>
          <w:tab w:val="clear" w:pos="360"/>
          <w:tab w:val="num" w:pos="-450"/>
        </w:tabs>
        <w:spacing w:before="120" w:after="120"/>
        <w:ind w:hanging="1260"/>
        <w:rPr>
          <w:rFonts w:ascii="Barclays Sans" w:hAnsi="Barclays Sans" w:cs="BarclaysSerif-Bold"/>
          <w:bCs/>
          <w:color w:val="auto"/>
          <w:szCs w:val="22"/>
        </w:rPr>
      </w:pPr>
      <w:bookmarkStart w:id="0" w:name="_Toc199214808"/>
      <w:bookmarkStart w:id="1" w:name="_Toc199762841"/>
      <w:bookmarkStart w:id="2" w:name="_Toc516501820"/>
      <w:r w:rsidRPr="009A0C38">
        <w:rPr>
          <w:rFonts w:ascii="Barclays Sans" w:hAnsi="Barclays Sans" w:cs="BarclaysSerif-Bold"/>
          <w:bCs/>
          <w:color w:val="auto"/>
          <w:szCs w:val="22"/>
        </w:rPr>
        <w:t>Commercial Terms, Credit pricing and Interest Rates</w:t>
      </w:r>
      <w:bookmarkEnd w:id="0"/>
      <w:bookmarkEnd w:id="1"/>
      <w:bookmarkEnd w:id="2"/>
    </w:p>
    <w:p w:rsidR="007E7CD6" w:rsidRPr="009A0C38" w:rsidRDefault="007E7CD6" w:rsidP="007E7CD6">
      <w:pPr>
        <w:pStyle w:val="BodyText"/>
        <w:rPr>
          <w:rFonts w:ascii="Barclays Sans" w:hAnsi="Barclays Sans"/>
          <w:sz w:val="22"/>
          <w:szCs w:val="22"/>
        </w:rPr>
      </w:pPr>
    </w:p>
    <w:p w:rsidR="007E7CD6" w:rsidRPr="001B1BEC" w:rsidRDefault="007E7CD6" w:rsidP="007E7CD6">
      <w:pPr>
        <w:spacing w:line="240" w:lineRule="atLeast"/>
        <w:ind w:right="-2"/>
        <w:jc w:val="both"/>
        <w:rPr>
          <w:rFonts w:ascii="Barclays Sans" w:hAnsi="Barclays Sans"/>
          <w:snapToGrid w:val="0"/>
          <w:color w:val="000000"/>
          <w:szCs w:val="22"/>
        </w:rPr>
      </w:pPr>
      <w:r w:rsidRPr="001B1BEC">
        <w:rPr>
          <w:rFonts w:ascii="Barclays Sans" w:hAnsi="Barclays Sans"/>
          <w:snapToGrid w:val="0"/>
          <w:color w:val="000000"/>
          <w:szCs w:val="22"/>
        </w:rPr>
        <w:t>In order to calculate a fair Credit price for a particular lending arrangement, one needs to bear in mind the following:</w:t>
      </w:r>
    </w:p>
    <w:p w:rsidR="007E7CD6" w:rsidRPr="009A0C38" w:rsidRDefault="007E7CD6" w:rsidP="007E7CD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Barclays Sans" w:hAnsi="Barclays Sans" w:cs="BarclaysSerif"/>
          <w:szCs w:val="22"/>
          <w:lang w:val="en-GB" w:eastAsia="en-US"/>
        </w:rPr>
      </w:pPr>
      <w:r w:rsidRPr="009A0C38">
        <w:rPr>
          <w:rFonts w:ascii="Barclays Sans" w:hAnsi="Barclays Sans" w:cs="BarclaysSerif"/>
          <w:szCs w:val="22"/>
          <w:lang w:val="en-GB" w:eastAsia="en-US"/>
        </w:rPr>
        <w:t>the credit risk (probability of default, loss given default, exposure at default)</w:t>
      </w:r>
    </w:p>
    <w:p w:rsidR="007E7CD6" w:rsidRPr="009A0C38" w:rsidRDefault="007E7CD6" w:rsidP="007E7CD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Barclays Sans" w:hAnsi="Barclays Sans" w:cs="BarclaysSerif"/>
          <w:szCs w:val="22"/>
          <w:lang w:val="en-GB" w:eastAsia="en-US"/>
        </w:rPr>
      </w:pPr>
      <w:r w:rsidRPr="009A0C38">
        <w:rPr>
          <w:rFonts w:ascii="Barclays Sans" w:hAnsi="Barclays Sans" w:cs="BarclaysSerif"/>
          <w:szCs w:val="22"/>
          <w:lang w:val="en-GB" w:eastAsia="en-US"/>
        </w:rPr>
        <w:t>the operating costs (fixed and marginal)</w:t>
      </w:r>
    </w:p>
    <w:p w:rsidR="007E7CD6" w:rsidRPr="009A0C38" w:rsidRDefault="007E7CD6" w:rsidP="007E7CD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Barclays Sans" w:hAnsi="Barclays Sans" w:cs="BarclaysSerif"/>
          <w:szCs w:val="22"/>
          <w:lang w:val="en-GB" w:eastAsia="en-US"/>
        </w:rPr>
      </w:pPr>
      <w:r w:rsidRPr="009A0C38">
        <w:rPr>
          <w:rFonts w:ascii="Barclays Sans" w:hAnsi="Barclays Sans" w:cs="BarclaysSerif"/>
          <w:szCs w:val="22"/>
          <w:lang w:val="en-GB" w:eastAsia="en-US"/>
        </w:rPr>
        <w:t>the client relationship</w:t>
      </w:r>
    </w:p>
    <w:p w:rsidR="007E7CD6" w:rsidRPr="009A0C38" w:rsidRDefault="007E7CD6" w:rsidP="007E7CD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Barclays Sans" w:hAnsi="Barclays Sans" w:cs="BarclaysSerif"/>
          <w:szCs w:val="22"/>
          <w:lang w:val="en-GB" w:eastAsia="en-US"/>
        </w:rPr>
      </w:pPr>
      <w:r w:rsidRPr="009A0C38">
        <w:rPr>
          <w:rFonts w:ascii="Barclays Sans" w:hAnsi="Barclays Sans" w:cs="BarclaysSerif"/>
          <w:szCs w:val="22"/>
          <w:lang w:val="en-GB" w:eastAsia="en-US"/>
        </w:rPr>
        <w:t>competitor/ market pricing</w:t>
      </w:r>
    </w:p>
    <w:p w:rsidR="007E7CD6" w:rsidRPr="009A0C38" w:rsidRDefault="007E7CD6" w:rsidP="007E7CD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Barclays Sans" w:hAnsi="Barclays Sans" w:cs="BarclaysSerif"/>
          <w:szCs w:val="22"/>
          <w:lang w:val="en-GB" w:eastAsia="en-US"/>
        </w:rPr>
      </w:pPr>
      <w:r w:rsidRPr="009A0C38">
        <w:rPr>
          <w:rFonts w:ascii="Barclays Sans" w:hAnsi="Barclays Sans" w:cs="BarclaysSerif"/>
          <w:szCs w:val="22"/>
          <w:lang w:val="en-GB" w:eastAsia="en-US"/>
        </w:rPr>
        <w:t>our credit appetite/ headroom</w:t>
      </w:r>
    </w:p>
    <w:p w:rsidR="007E7CD6" w:rsidRPr="009A0C38" w:rsidRDefault="007E7CD6" w:rsidP="007E7CD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Barclays Sans" w:hAnsi="Barclays Sans" w:cs="BarclaysSerif"/>
          <w:szCs w:val="22"/>
          <w:lang w:eastAsia="en-US"/>
        </w:rPr>
      </w:pPr>
      <w:r w:rsidRPr="009A0C38">
        <w:rPr>
          <w:rFonts w:ascii="Barclays Sans" w:hAnsi="Barclays Sans" w:cs="BarclaysSerif"/>
          <w:szCs w:val="22"/>
          <w:lang w:val="en-GB" w:eastAsia="en-US"/>
        </w:rPr>
        <w:t>our strategic positioning</w:t>
      </w:r>
    </w:p>
    <w:p w:rsidR="007E7CD6" w:rsidRPr="009A0C38" w:rsidRDefault="007E7CD6" w:rsidP="007E7CD6">
      <w:pPr>
        <w:autoSpaceDE w:val="0"/>
        <w:autoSpaceDN w:val="0"/>
        <w:adjustRightInd w:val="0"/>
        <w:jc w:val="both"/>
        <w:rPr>
          <w:rFonts w:ascii="Barclays Sans" w:hAnsi="Barclays Sans" w:cs="BarclaysSerif"/>
          <w:szCs w:val="22"/>
          <w:lang w:eastAsia="en-US"/>
        </w:rPr>
      </w:pPr>
    </w:p>
    <w:p w:rsidR="007E7CD6" w:rsidRPr="001B1BEC" w:rsidRDefault="007E7CD6" w:rsidP="007E7CD6">
      <w:pPr>
        <w:spacing w:line="240" w:lineRule="atLeast"/>
        <w:ind w:right="-2"/>
        <w:jc w:val="both"/>
        <w:rPr>
          <w:rFonts w:ascii="Barclays Sans" w:hAnsi="Barclays Sans"/>
          <w:snapToGrid w:val="0"/>
          <w:color w:val="000000"/>
          <w:szCs w:val="22"/>
        </w:rPr>
      </w:pPr>
      <w:r w:rsidRPr="001B1BEC">
        <w:rPr>
          <w:rFonts w:ascii="Barclays Sans" w:hAnsi="Barclays Sans"/>
          <w:snapToGrid w:val="0"/>
          <w:color w:val="000000"/>
          <w:szCs w:val="22"/>
        </w:rPr>
        <w:t xml:space="preserve">The spread shall factor the cost of capital adequacy based on Return on Risk Weighted Assets </w:t>
      </w:r>
      <w:proofErr w:type="spellStart"/>
      <w:r w:rsidRPr="001B1BEC">
        <w:rPr>
          <w:rFonts w:ascii="Barclays Sans" w:hAnsi="Barclays Sans"/>
          <w:snapToGrid w:val="0"/>
          <w:color w:val="000000"/>
          <w:szCs w:val="22"/>
        </w:rPr>
        <w:t>RoRWA</w:t>
      </w:r>
      <w:proofErr w:type="spellEnd"/>
      <w:r w:rsidRPr="001B1BEC">
        <w:rPr>
          <w:rFonts w:ascii="Barclays Sans" w:hAnsi="Barclays Sans"/>
          <w:snapToGrid w:val="0"/>
          <w:color w:val="000000"/>
          <w:szCs w:val="22"/>
        </w:rPr>
        <w:t xml:space="preserve"> of the total exposure amount.</w:t>
      </w:r>
    </w:p>
    <w:p w:rsidR="007E7CD6" w:rsidRPr="001B1BEC" w:rsidRDefault="007E7CD6" w:rsidP="007E7CD6">
      <w:pPr>
        <w:spacing w:line="240" w:lineRule="atLeast"/>
        <w:ind w:right="-2"/>
        <w:jc w:val="both"/>
        <w:rPr>
          <w:rFonts w:ascii="Barclays Sans" w:hAnsi="Barclays Sans"/>
          <w:snapToGrid w:val="0"/>
          <w:color w:val="000000"/>
          <w:szCs w:val="22"/>
        </w:rPr>
      </w:pPr>
    </w:p>
    <w:p w:rsidR="007E7CD6" w:rsidRPr="001B1BEC" w:rsidRDefault="007E7CD6" w:rsidP="007E7CD6">
      <w:pPr>
        <w:spacing w:line="240" w:lineRule="atLeast"/>
        <w:ind w:right="-2"/>
        <w:jc w:val="both"/>
        <w:rPr>
          <w:rFonts w:ascii="Barclays Sans" w:hAnsi="Barclays Sans"/>
          <w:snapToGrid w:val="0"/>
          <w:color w:val="000000"/>
          <w:szCs w:val="22"/>
        </w:rPr>
      </w:pPr>
      <w:r w:rsidRPr="001B1BEC">
        <w:rPr>
          <w:rFonts w:ascii="Barclays Sans" w:hAnsi="Barclays Sans"/>
          <w:snapToGrid w:val="0"/>
          <w:color w:val="000000"/>
          <w:szCs w:val="22"/>
        </w:rPr>
        <w:t>It will be the prerogative of the PBOS Business to decide upon the commercial terms, and interest rates after due consideration of the following factors:</w:t>
      </w:r>
    </w:p>
    <w:p w:rsidR="007E7CD6" w:rsidRPr="001B1BEC" w:rsidRDefault="007E7CD6" w:rsidP="007E7CD6">
      <w:pPr>
        <w:spacing w:line="240" w:lineRule="atLeast"/>
        <w:ind w:right="-2"/>
        <w:jc w:val="both"/>
        <w:rPr>
          <w:rFonts w:ascii="Barclays Sans" w:hAnsi="Barclays Sans"/>
          <w:snapToGrid w:val="0"/>
          <w:color w:val="000000"/>
          <w:szCs w:val="22"/>
        </w:rPr>
      </w:pPr>
    </w:p>
    <w:p w:rsidR="007E7CD6" w:rsidRPr="009A0C38" w:rsidRDefault="007E7CD6" w:rsidP="007E7CD6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rFonts w:ascii="Barclays Sans" w:hAnsi="Barclays Sans" w:cs="BarclaysSerif"/>
          <w:bCs/>
          <w:szCs w:val="22"/>
          <w:lang w:val="en-GB" w:eastAsia="en-US"/>
        </w:rPr>
      </w:pPr>
      <w:r w:rsidRPr="009A0C38">
        <w:rPr>
          <w:rFonts w:ascii="Barclays Sans" w:hAnsi="Barclays Sans" w:cs="BarclaysSerif"/>
          <w:b/>
          <w:bCs/>
          <w:szCs w:val="22"/>
          <w:lang w:val="en-GB" w:eastAsia="en-US"/>
        </w:rPr>
        <w:t xml:space="preserve">‘What if’ pricing - </w:t>
      </w:r>
      <w:r w:rsidRPr="009A0C38">
        <w:rPr>
          <w:rFonts w:ascii="Barclays Sans" w:hAnsi="Barclays Sans" w:cs="BarclaysSerif"/>
          <w:bCs/>
          <w:szCs w:val="22"/>
          <w:lang w:val="en-GB" w:eastAsia="en-US"/>
        </w:rPr>
        <w:t>The ability to provide multiple scenario prices, before the final structure is agreed.</w:t>
      </w:r>
    </w:p>
    <w:p w:rsidR="007E7CD6" w:rsidRPr="009A0C38" w:rsidRDefault="007E7CD6" w:rsidP="007E7CD6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Barclays Sans" w:hAnsi="Barclays Sans" w:cs="BarclaysSerif"/>
          <w:szCs w:val="22"/>
          <w:lang w:eastAsia="en-US"/>
        </w:rPr>
      </w:pPr>
      <w:r w:rsidRPr="009A0C38">
        <w:rPr>
          <w:rFonts w:ascii="Barclays Sans" w:hAnsi="Barclays Sans" w:cs="BarclaysSerif"/>
          <w:b/>
          <w:bCs/>
          <w:szCs w:val="22"/>
          <w:lang w:val="en-GB" w:eastAsia="en-US"/>
        </w:rPr>
        <w:t>Break even pricing</w:t>
      </w:r>
      <w:r w:rsidRPr="009A0C38">
        <w:rPr>
          <w:rFonts w:ascii="Barclays Sans" w:hAnsi="Barclays Sans" w:cs="BarclaysSerif"/>
          <w:szCs w:val="22"/>
          <w:lang w:eastAsia="en-US"/>
        </w:rPr>
        <w:t xml:space="preserve"> - </w:t>
      </w:r>
      <w:r w:rsidRPr="009A0C38">
        <w:rPr>
          <w:rFonts w:ascii="Barclays Sans" w:hAnsi="Barclays Sans" w:cs="BarclaysSerif"/>
          <w:szCs w:val="22"/>
          <w:lang w:val="en-GB" w:eastAsia="en-US"/>
        </w:rPr>
        <w:t>The ability to provide a break</w:t>
      </w:r>
      <w:r>
        <w:rPr>
          <w:rFonts w:ascii="Barclays Sans" w:hAnsi="Barclays Sans" w:cs="BarclaysSerif"/>
          <w:szCs w:val="22"/>
          <w:lang w:val="en-GB" w:eastAsia="en-US"/>
        </w:rPr>
        <w:t>-</w:t>
      </w:r>
      <w:r w:rsidRPr="009A0C38">
        <w:rPr>
          <w:rFonts w:ascii="Barclays Sans" w:hAnsi="Barclays Sans" w:cs="BarclaysSerif"/>
          <w:szCs w:val="22"/>
          <w:lang w:val="en-GB" w:eastAsia="en-US"/>
        </w:rPr>
        <w:t>even price for a particular risk</w:t>
      </w:r>
      <w:r w:rsidRPr="009A0C38">
        <w:rPr>
          <w:rFonts w:ascii="Barclays Sans" w:hAnsi="Barclays Sans" w:cs="BarclaysSerif"/>
          <w:szCs w:val="22"/>
          <w:lang w:eastAsia="en-US"/>
        </w:rPr>
        <w:t xml:space="preserve"> </w:t>
      </w:r>
    </w:p>
    <w:p w:rsidR="007E7CD6" w:rsidRPr="009A0C38" w:rsidRDefault="007E7CD6" w:rsidP="007E7CD6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Barclays Sans" w:hAnsi="Barclays Sans" w:cs="BarclaysSerif"/>
          <w:szCs w:val="22"/>
          <w:lang w:val="en-GB" w:eastAsia="en-US"/>
        </w:rPr>
      </w:pPr>
      <w:r w:rsidRPr="009A0C38">
        <w:rPr>
          <w:rFonts w:ascii="Barclays Sans" w:hAnsi="Barclays Sans" w:cs="BarclaysSerif"/>
          <w:b/>
          <w:bCs/>
          <w:szCs w:val="22"/>
          <w:lang w:val="en-GB" w:eastAsia="en-US"/>
        </w:rPr>
        <w:t>Bespoke (Risk adjusted) pricing</w:t>
      </w:r>
      <w:r w:rsidRPr="009A0C38">
        <w:rPr>
          <w:rFonts w:ascii="Barclays Sans" w:hAnsi="Barclays Sans" w:cs="BarclaysSerif"/>
          <w:szCs w:val="22"/>
          <w:lang w:eastAsia="en-US"/>
        </w:rPr>
        <w:t xml:space="preserve"> - </w:t>
      </w:r>
      <w:r w:rsidRPr="009A0C38">
        <w:rPr>
          <w:rFonts w:ascii="Barclays Sans" w:hAnsi="Barclays Sans" w:cs="BarclaysSerif"/>
          <w:szCs w:val="22"/>
          <w:lang w:val="en-GB" w:eastAsia="en-US"/>
        </w:rPr>
        <w:t>The ability to use the prevailing risk models to provide pricing for bespoke (unique) transactions.</w:t>
      </w:r>
    </w:p>
    <w:p w:rsidR="007E7CD6" w:rsidRPr="009A0C38" w:rsidRDefault="007E7CD6" w:rsidP="007E7CD6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Barclays Sans" w:hAnsi="Barclays Sans" w:cs="BarclaysSerif"/>
          <w:szCs w:val="22"/>
          <w:lang w:val="en-GB" w:eastAsia="en-US"/>
        </w:rPr>
      </w:pPr>
      <w:r w:rsidRPr="009A0C38">
        <w:rPr>
          <w:rFonts w:ascii="Barclays Sans" w:hAnsi="Barclays Sans" w:cs="BarclaysSerif"/>
          <w:b/>
          <w:bCs/>
          <w:szCs w:val="22"/>
          <w:lang w:val="en-GB" w:eastAsia="en-US"/>
        </w:rPr>
        <w:t>Client segmentation</w:t>
      </w:r>
      <w:r w:rsidRPr="009A0C38">
        <w:rPr>
          <w:rFonts w:ascii="Barclays Sans" w:hAnsi="Barclays Sans" w:cs="BarclaysSerif"/>
          <w:szCs w:val="22"/>
          <w:lang w:val="en-GB" w:eastAsia="en-US"/>
        </w:rPr>
        <w:t xml:space="preserve"> - The ability to recognise different client segments so that pricing </w:t>
      </w:r>
      <w:proofErr w:type="gramStart"/>
      <w:r w:rsidRPr="009A0C38">
        <w:rPr>
          <w:rFonts w:ascii="Barclays Sans" w:hAnsi="Barclays Sans" w:cs="BarclaysSerif"/>
          <w:szCs w:val="22"/>
          <w:lang w:val="en-GB" w:eastAsia="en-US"/>
        </w:rPr>
        <w:t>could be adjusted</w:t>
      </w:r>
      <w:proofErr w:type="gramEnd"/>
      <w:r w:rsidRPr="009A0C38">
        <w:rPr>
          <w:rFonts w:ascii="Barclays Sans" w:hAnsi="Barclays Sans" w:cs="BarclaysSerif"/>
          <w:szCs w:val="22"/>
          <w:lang w:val="en-GB" w:eastAsia="en-US"/>
        </w:rPr>
        <w:t xml:space="preserve"> accordingly.</w:t>
      </w:r>
    </w:p>
    <w:p w:rsidR="007E7CD6" w:rsidRPr="009A0C38" w:rsidRDefault="007E7CD6" w:rsidP="007E7CD6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Barclays Sans" w:hAnsi="Barclays Sans" w:cs="BarclaysSerif"/>
          <w:szCs w:val="22"/>
          <w:lang w:val="en-GB" w:eastAsia="en-US"/>
        </w:rPr>
      </w:pPr>
      <w:r w:rsidRPr="009A0C38">
        <w:rPr>
          <w:rFonts w:ascii="Barclays Sans" w:hAnsi="Barclays Sans" w:cs="BarclaysSerif"/>
          <w:b/>
          <w:bCs/>
          <w:szCs w:val="22"/>
          <w:lang w:val="en-GB" w:eastAsia="en-US"/>
        </w:rPr>
        <w:t>Asset class pricing</w:t>
      </w:r>
      <w:r w:rsidRPr="009A0C38">
        <w:rPr>
          <w:rFonts w:ascii="Barclays Sans" w:hAnsi="Barclays Sans" w:cs="BarclaysSerif"/>
          <w:szCs w:val="22"/>
          <w:lang w:eastAsia="en-US"/>
        </w:rPr>
        <w:t xml:space="preserve"> - </w:t>
      </w:r>
      <w:r w:rsidRPr="009A0C38">
        <w:rPr>
          <w:rFonts w:ascii="Barclays Sans" w:hAnsi="Barclays Sans" w:cs="BarclaysSerif"/>
          <w:szCs w:val="22"/>
          <w:lang w:val="en-GB" w:eastAsia="en-US"/>
        </w:rPr>
        <w:t xml:space="preserve">The ability to recognise different (and in some cases multiple) asset classes so that pricing </w:t>
      </w:r>
      <w:proofErr w:type="gramStart"/>
      <w:r w:rsidRPr="009A0C38">
        <w:rPr>
          <w:rFonts w:ascii="Barclays Sans" w:hAnsi="Barclays Sans" w:cs="BarclaysSerif"/>
          <w:szCs w:val="22"/>
          <w:lang w:val="en-GB" w:eastAsia="en-US"/>
        </w:rPr>
        <w:t>can be adjusted</w:t>
      </w:r>
      <w:proofErr w:type="gramEnd"/>
      <w:r w:rsidRPr="009A0C38">
        <w:rPr>
          <w:rFonts w:ascii="Barclays Sans" w:hAnsi="Barclays Sans" w:cs="BarclaysSerif"/>
          <w:szCs w:val="22"/>
          <w:lang w:val="en-GB" w:eastAsia="en-US"/>
        </w:rPr>
        <w:t xml:space="preserve"> accordingly.</w:t>
      </w:r>
    </w:p>
    <w:p w:rsidR="007E7CD6" w:rsidRPr="009A0C38" w:rsidRDefault="007E7CD6" w:rsidP="007E7CD6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Barclays Sans" w:hAnsi="Barclays Sans" w:cs="BarclaysSerif"/>
          <w:szCs w:val="22"/>
          <w:lang w:val="en-GB" w:eastAsia="en-US"/>
        </w:rPr>
      </w:pPr>
      <w:r w:rsidRPr="009A0C38">
        <w:rPr>
          <w:rFonts w:ascii="Barclays Sans" w:hAnsi="Barclays Sans" w:cs="BarclaysSerif"/>
          <w:b/>
          <w:bCs/>
          <w:szCs w:val="22"/>
          <w:lang w:val="en-GB" w:eastAsia="en-US"/>
        </w:rPr>
        <w:t>Spread &amp; Fee</w:t>
      </w:r>
      <w:r w:rsidRPr="009A0C38">
        <w:rPr>
          <w:rFonts w:ascii="Barclays Sans" w:hAnsi="Barclays Sans" w:cs="BarclaysSerif"/>
          <w:szCs w:val="22"/>
          <w:lang w:eastAsia="en-US"/>
        </w:rPr>
        <w:t xml:space="preserve"> - </w:t>
      </w:r>
      <w:r w:rsidRPr="009A0C38">
        <w:rPr>
          <w:rFonts w:ascii="Barclays Sans" w:hAnsi="Barclays Sans" w:cs="BarclaysSerif"/>
          <w:szCs w:val="22"/>
          <w:lang w:val="en-GB" w:eastAsia="en-US"/>
        </w:rPr>
        <w:t xml:space="preserve">The ability to be flexible </w:t>
      </w:r>
    </w:p>
    <w:p w:rsidR="007E7CD6" w:rsidRPr="009A0C38" w:rsidRDefault="007E7CD6" w:rsidP="007E7CD6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Barclays Sans" w:hAnsi="Barclays Sans" w:cs="BarclaysSerif"/>
          <w:szCs w:val="22"/>
          <w:lang w:eastAsia="en-US"/>
        </w:rPr>
      </w:pPr>
      <w:r w:rsidRPr="009A0C38">
        <w:rPr>
          <w:rFonts w:ascii="Barclays Sans" w:hAnsi="Barclays Sans" w:cs="BarclaysSerif"/>
          <w:b/>
          <w:bCs/>
          <w:szCs w:val="22"/>
          <w:lang w:val="en-GB" w:eastAsia="en-US"/>
        </w:rPr>
        <w:t>Regulatory &amp; economic capital</w:t>
      </w:r>
      <w:r w:rsidRPr="009A0C38">
        <w:rPr>
          <w:rFonts w:ascii="Barclays Sans" w:hAnsi="Barclays Sans" w:cs="BarclaysSerif"/>
          <w:szCs w:val="22"/>
          <w:lang w:val="en-GB" w:eastAsia="en-US"/>
        </w:rPr>
        <w:t xml:space="preserve"> consumption/ return for each trade</w:t>
      </w:r>
      <w:r w:rsidRPr="009A0C38">
        <w:rPr>
          <w:rFonts w:ascii="Barclays Sans" w:hAnsi="Barclays Sans" w:cs="BarclaysSerif"/>
          <w:szCs w:val="22"/>
          <w:lang w:eastAsia="en-US"/>
        </w:rPr>
        <w:t xml:space="preserve"> </w:t>
      </w:r>
    </w:p>
    <w:p w:rsidR="007E7CD6" w:rsidRPr="009A0C38" w:rsidRDefault="007E7CD6" w:rsidP="007E7CD6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Barclays Sans" w:hAnsi="Barclays Sans" w:cs="BarclaysSerif"/>
          <w:szCs w:val="22"/>
          <w:lang w:eastAsia="en-US"/>
        </w:rPr>
      </w:pPr>
      <w:r w:rsidRPr="009A0C38">
        <w:rPr>
          <w:rFonts w:ascii="Barclays Sans" w:hAnsi="Barclays Sans" w:cs="BarclaysSerif"/>
          <w:b/>
          <w:bCs/>
          <w:szCs w:val="22"/>
          <w:lang w:eastAsia="en-US"/>
        </w:rPr>
        <w:t xml:space="preserve">Other factors </w:t>
      </w:r>
      <w:r w:rsidRPr="009A0C38">
        <w:rPr>
          <w:rFonts w:ascii="Barclays Sans" w:hAnsi="Barclays Sans" w:cs="BarclaysSerif"/>
          <w:szCs w:val="22"/>
          <w:lang w:eastAsia="en-US"/>
        </w:rPr>
        <w:t>– The ability to factor in other costs i.e. operational and other financial costs</w:t>
      </w:r>
    </w:p>
    <w:p w:rsidR="007E7CD6" w:rsidRPr="009A0C38" w:rsidRDefault="007E7CD6" w:rsidP="007E7CD6">
      <w:pPr>
        <w:autoSpaceDE w:val="0"/>
        <w:autoSpaceDN w:val="0"/>
        <w:adjustRightInd w:val="0"/>
        <w:jc w:val="both"/>
        <w:rPr>
          <w:rFonts w:ascii="Barclays Sans" w:hAnsi="Barclays Sans" w:cs="BarclaysSerif"/>
          <w:szCs w:val="22"/>
          <w:lang w:eastAsia="en-US"/>
        </w:rPr>
      </w:pPr>
      <w:bookmarkStart w:id="3" w:name="_GoBack"/>
      <w:bookmarkEnd w:id="3"/>
    </w:p>
    <w:p w:rsidR="007E7CD6" w:rsidRPr="001B1BEC" w:rsidRDefault="007E7CD6" w:rsidP="007E7CD6">
      <w:pPr>
        <w:spacing w:line="240" w:lineRule="atLeast"/>
        <w:ind w:right="-2"/>
        <w:jc w:val="both"/>
        <w:rPr>
          <w:rFonts w:ascii="Barclays Sans" w:hAnsi="Barclays Sans"/>
          <w:snapToGrid w:val="0"/>
          <w:color w:val="000000"/>
          <w:szCs w:val="22"/>
        </w:rPr>
      </w:pPr>
      <w:r w:rsidRPr="001B1BEC">
        <w:rPr>
          <w:rFonts w:ascii="Barclays Sans" w:hAnsi="Barclays Sans"/>
          <w:snapToGrid w:val="0"/>
          <w:color w:val="000000"/>
          <w:szCs w:val="22"/>
        </w:rPr>
        <w:t xml:space="preserve">Interest shall be payable by the borrower, in arrears at the frequency and rate, agreed with the lender and communicated in the disbursal / interest reset confirmation letter. </w:t>
      </w:r>
    </w:p>
    <w:p w:rsidR="007E7CD6" w:rsidRPr="001B1BEC" w:rsidRDefault="007E7CD6" w:rsidP="007E7CD6">
      <w:pPr>
        <w:spacing w:line="240" w:lineRule="atLeast"/>
        <w:ind w:right="-2"/>
        <w:jc w:val="both"/>
        <w:rPr>
          <w:rFonts w:ascii="Barclays Sans" w:hAnsi="Barclays Sans"/>
          <w:snapToGrid w:val="0"/>
          <w:color w:val="000000"/>
          <w:szCs w:val="22"/>
        </w:rPr>
      </w:pPr>
    </w:p>
    <w:p w:rsidR="007E7CD6" w:rsidRPr="001B1BEC" w:rsidRDefault="007E7CD6" w:rsidP="007E7CD6">
      <w:pPr>
        <w:spacing w:line="240" w:lineRule="atLeast"/>
        <w:ind w:right="-2"/>
        <w:jc w:val="both"/>
        <w:rPr>
          <w:rFonts w:ascii="Barclays Sans" w:hAnsi="Barclays Sans"/>
          <w:snapToGrid w:val="0"/>
          <w:color w:val="000000"/>
          <w:szCs w:val="22"/>
        </w:rPr>
      </w:pPr>
      <w:r w:rsidRPr="001B1BEC">
        <w:rPr>
          <w:rFonts w:ascii="Barclays Sans" w:hAnsi="Barclays Sans"/>
          <w:snapToGrid w:val="0"/>
          <w:color w:val="000000"/>
          <w:szCs w:val="22"/>
        </w:rPr>
        <w:t xml:space="preserve">Credit Risk shall, record specific reasons in writing at the time of sanctioning demand or call loan, if no interest </w:t>
      </w:r>
      <w:proofErr w:type="gramStart"/>
      <w:r w:rsidRPr="001B1BEC">
        <w:rPr>
          <w:rFonts w:ascii="Barclays Sans" w:hAnsi="Barclays Sans"/>
          <w:snapToGrid w:val="0"/>
          <w:color w:val="000000"/>
          <w:szCs w:val="22"/>
        </w:rPr>
        <w:t>is stipulated</w:t>
      </w:r>
      <w:proofErr w:type="gramEnd"/>
      <w:r w:rsidRPr="001B1BEC">
        <w:rPr>
          <w:rFonts w:ascii="Barclays Sans" w:hAnsi="Barclays Sans"/>
          <w:snapToGrid w:val="0"/>
          <w:color w:val="000000"/>
          <w:szCs w:val="22"/>
        </w:rPr>
        <w:t xml:space="preserve"> or a moratorium is granted for any period. For all such loans, Credit Risk will stipulate the repayment date. The interest rate and frequency either at monthly or quarterly rests </w:t>
      </w:r>
      <w:proofErr w:type="gramStart"/>
      <w:r w:rsidRPr="001B1BEC">
        <w:rPr>
          <w:rFonts w:ascii="Barclays Sans" w:hAnsi="Barclays Sans"/>
          <w:snapToGrid w:val="0"/>
          <w:color w:val="000000"/>
          <w:szCs w:val="22"/>
        </w:rPr>
        <w:t>shall be agreed</w:t>
      </w:r>
      <w:proofErr w:type="gramEnd"/>
      <w:r w:rsidRPr="001B1BEC">
        <w:rPr>
          <w:rFonts w:ascii="Barclays Sans" w:hAnsi="Barclays Sans"/>
          <w:snapToGrid w:val="0"/>
          <w:color w:val="000000"/>
          <w:szCs w:val="22"/>
        </w:rPr>
        <w:t xml:space="preserve"> with the client before disbursal of such loans.</w:t>
      </w:r>
    </w:p>
    <w:p w:rsidR="007E7CD6" w:rsidRPr="005E7553" w:rsidRDefault="007E7CD6" w:rsidP="007E7CD6">
      <w:pPr>
        <w:autoSpaceDE w:val="0"/>
        <w:autoSpaceDN w:val="0"/>
        <w:adjustRightInd w:val="0"/>
        <w:jc w:val="both"/>
        <w:rPr>
          <w:rFonts w:ascii="Expert Sans" w:hAnsi="Expert Sans" w:cs="Expert Sans"/>
          <w:color w:val="000000"/>
          <w:sz w:val="24"/>
          <w:szCs w:val="24"/>
          <w:lang w:eastAsia="zh-CN"/>
        </w:rPr>
      </w:pPr>
    </w:p>
    <w:p w:rsidR="007E7CD6" w:rsidRDefault="007E7CD6" w:rsidP="007E7CD6">
      <w:pPr>
        <w:autoSpaceDE w:val="0"/>
        <w:autoSpaceDN w:val="0"/>
        <w:adjustRightInd w:val="0"/>
        <w:jc w:val="both"/>
        <w:rPr>
          <w:rFonts w:ascii="Expert Sans" w:hAnsi="Expert Sans" w:cs="Expert Sans"/>
          <w:b/>
          <w:bCs/>
          <w:color w:val="000000"/>
          <w:szCs w:val="22"/>
          <w:lang w:eastAsia="zh-CN"/>
        </w:rPr>
      </w:pPr>
      <w:r w:rsidRPr="006461CA">
        <w:rPr>
          <w:rFonts w:ascii="Barclays Sans" w:hAnsi="Barclays Sans" w:cs="Expert Sans"/>
          <w:b/>
          <w:bCs/>
          <w:color w:val="000000"/>
          <w:szCs w:val="22"/>
          <w:lang w:eastAsia="zh-CN"/>
        </w:rPr>
        <w:t>FOCUS ON RISK-REWARD</w:t>
      </w:r>
      <w:r w:rsidRPr="005E7553">
        <w:rPr>
          <w:rFonts w:ascii="Expert Sans" w:hAnsi="Expert Sans" w:cs="Expert Sans"/>
          <w:b/>
          <w:bCs/>
          <w:color w:val="000000"/>
          <w:szCs w:val="22"/>
          <w:lang w:eastAsia="zh-CN"/>
        </w:rPr>
        <w:t xml:space="preserve">: </w:t>
      </w:r>
    </w:p>
    <w:p w:rsidR="007E7CD6" w:rsidRPr="005E7553" w:rsidRDefault="007E7CD6" w:rsidP="007E7CD6">
      <w:pPr>
        <w:autoSpaceDE w:val="0"/>
        <w:autoSpaceDN w:val="0"/>
        <w:adjustRightInd w:val="0"/>
        <w:jc w:val="both"/>
        <w:rPr>
          <w:rFonts w:ascii="Expert Sans" w:hAnsi="Expert Sans" w:cs="Expert Sans"/>
          <w:color w:val="000000"/>
          <w:szCs w:val="22"/>
          <w:lang w:eastAsia="zh-CN"/>
        </w:rPr>
      </w:pPr>
    </w:p>
    <w:p w:rsidR="007E7CD6" w:rsidRPr="001B1BEC" w:rsidRDefault="007E7CD6" w:rsidP="007E7CD6">
      <w:pPr>
        <w:spacing w:line="240" w:lineRule="atLeast"/>
        <w:ind w:right="-2"/>
        <w:jc w:val="both"/>
        <w:rPr>
          <w:rFonts w:ascii="Barclays Sans" w:hAnsi="Barclays Sans"/>
          <w:snapToGrid w:val="0"/>
          <w:color w:val="000000"/>
          <w:szCs w:val="22"/>
        </w:rPr>
      </w:pPr>
      <w:r w:rsidRPr="001B1BEC">
        <w:rPr>
          <w:rFonts w:ascii="Barclays Sans" w:hAnsi="Barclays Sans"/>
          <w:snapToGrid w:val="0"/>
          <w:color w:val="000000"/>
          <w:szCs w:val="22"/>
        </w:rPr>
        <w:t xml:space="preserve">The Company’s objective is to optimize its risk/reward return, which implies: </w:t>
      </w:r>
    </w:p>
    <w:p w:rsidR="007E7CD6" w:rsidRPr="005E7553" w:rsidRDefault="007E7CD6" w:rsidP="007E7CD6">
      <w:pPr>
        <w:autoSpaceDE w:val="0"/>
        <w:autoSpaceDN w:val="0"/>
        <w:adjustRightInd w:val="0"/>
        <w:jc w:val="both"/>
        <w:rPr>
          <w:rFonts w:ascii="Expert Sans" w:hAnsi="Expert Sans" w:cs="Expert Sans"/>
          <w:color w:val="000000"/>
          <w:szCs w:val="22"/>
          <w:lang w:eastAsia="zh-CN"/>
        </w:rPr>
      </w:pPr>
    </w:p>
    <w:p w:rsidR="007E7CD6" w:rsidRPr="001A0461" w:rsidRDefault="007E7CD6" w:rsidP="007E7CD6">
      <w:pPr>
        <w:numPr>
          <w:ilvl w:val="0"/>
          <w:numId w:val="2"/>
        </w:numPr>
        <w:autoSpaceDE w:val="0"/>
        <w:autoSpaceDN w:val="0"/>
        <w:adjustRightInd w:val="0"/>
        <w:spacing w:after="75"/>
        <w:ind w:hanging="720"/>
        <w:jc w:val="both"/>
        <w:rPr>
          <w:rFonts w:ascii="Barclays Sans" w:hAnsi="Barclays Sans" w:cs="Expert Sans"/>
          <w:color w:val="000000"/>
          <w:szCs w:val="22"/>
          <w:lang w:eastAsia="zh-CN"/>
        </w:rPr>
      </w:pPr>
      <w:r w:rsidRPr="001A0461">
        <w:rPr>
          <w:rFonts w:ascii="Barclays Sans" w:hAnsi="Barclays Sans" w:cs="Expert Sans"/>
          <w:color w:val="000000"/>
          <w:szCs w:val="22"/>
          <w:lang w:eastAsia="zh-CN"/>
        </w:rPr>
        <w:t xml:space="preserve">an accurate internal client grading and counterparty assessment process, based on a balanced and rigorous credit analysis of the strengths and weakness of all transactions; </w:t>
      </w:r>
    </w:p>
    <w:p w:rsidR="007E7CD6" w:rsidRPr="00972D9A" w:rsidRDefault="007E7CD6" w:rsidP="00972D9A">
      <w:pPr>
        <w:numPr>
          <w:ilvl w:val="0"/>
          <w:numId w:val="2"/>
        </w:numPr>
        <w:autoSpaceDE w:val="0"/>
        <w:autoSpaceDN w:val="0"/>
        <w:adjustRightInd w:val="0"/>
        <w:spacing w:after="75"/>
        <w:ind w:hanging="720"/>
        <w:jc w:val="both"/>
        <w:rPr>
          <w:rFonts w:ascii="Barclays Sans" w:hAnsi="Barclays Sans" w:cs="Expert Sans"/>
          <w:color w:val="000000"/>
          <w:szCs w:val="22"/>
          <w:lang w:eastAsia="zh-CN"/>
        </w:rPr>
      </w:pPr>
      <w:r w:rsidRPr="001A0461">
        <w:rPr>
          <w:rFonts w:ascii="Barclays Sans" w:hAnsi="Barclays Sans" w:cs="Expert Sans"/>
          <w:color w:val="000000"/>
          <w:szCs w:val="22"/>
          <w:lang w:eastAsia="zh-CN"/>
        </w:rPr>
        <w:t xml:space="preserve">a remuneration commensurate with the risk (as reflected by the assigned counterparty assessment), the final decision with respect to pricing belonging to the business; </w:t>
      </w:r>
    </w:p>
    <w:sectPr w:rsidR="007E7CD6" w:rsidRPr="00972D9A" w:rsidSect="00972D9A">
      <w:footerReference w:type="even" r:id="rId8"/>
      <w:footerReference w:type="first" r:id="rId9"/>
      <w:pgSz w:w="12240" w:h="15840"/>
      <w:pgMar w:top="810" w:right="990" w:bottom="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D6" w:rsidRDefault="007E7CD6" w:rsidP="007E7CD6">
      <w:r>
        <w:separator/>
      </w:r>
    </w:p>
  </w:endnote>
  <w:endnote w:type="continuationSeparator" w:id="0">
    <w:p w:rsidR="007E7CD6" w:rsidRDefault="007E7CD6" w:rsidP="007E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xpert Sans Regul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rclays Sans">
    <w:panose1 w:val="020B0503030103020204"/>
    <w:charset w:val="00"/>
    <w:family w:val="swiss"/>
    <w:pitch w:val="variable"/>
    <w:sig w:usb0="00000003" w:usb1="00000000" w:usb2="00000000" w:usb3="00000000" w:csb0="00000001" w:csb1="00000000"/>
  </w:font>
  <w:font w:name="Barclay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clay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pert Sans">
    <w:altName w:val="Exper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D6" w:rsidRPr="00972D9A" w:rsidRDefault="00807973" w:rsidP="00972D9A">
    <w:pPr>
      <w:pStyle w:val="Footer"/>
      <w:jc w:val="center"/>
    </w:pPr>
    <w:r>
      <w:rPr>
        <w:rFonts w:ascii="Expert Sans Regular" w:hAnsi="Expert Sans Regular"/>
        <w:color w:val="000000"/>
        <w:sz w:val="20"/>
      </w:rPr>
      <w:fldChar w:fldCharType="begin" w:fldLock="1"/>
    </w:r>
    <w:r>
      <w:rPr>
        <w:rFonts w:ascii="Expert Sans Regular" w:hAnsi="Expert Sans Regular"/>
        <w:color w:val="000000"/>
        <w:sz w:val="20"/>
      </w:rPr>
      <w:instrText xml:space="preserve"> DOCPROPERTY bjFooterEvenPageDocProperty \* MERGEFORMAT </w:instrText>
    </w:r>
    <w:r>
      <w:rPr>
        <w:rFonts w:ascii="Expert Sans Regular" w:hAnsi="Expert Sans Regular"/>
        <w:color w:val="000000"/>
        <w:sz w:val="20"/>
      </w:rPr>
      <w:fldChar w:fldCharType="separate"/>
    </w:r>
    <w:r w:rsidR="00972D9A" w:rsidRPr="00972D9A">
      <w:rPr>
        <w:rFonts w:ascii="Expert Sans Regular" w:hAnsi="Expert Sans Regular"/>
        <w:color w:val="000000"/>
        <w:sz w:val="20"/>
      </w:rPr>
      <w:t xml:space="preserve"> Restricted - Internal</w:t>
    </w:r>
    <w:r>
      <w:rPr>
        <w:rFonts w:ascii="Expert Sans Regular" w:hAnsi="Expert Sans Regular"/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D6" w:rsidRPr="00972D9A" w:rsidRDefault="00807973" w:rsidP="00972D9A">
    <w:pPr>
      <w:pStyle w:val="Footer"/>
      <w:jc w:val="center"/>
    </w:pPr>
    <w:r>
      <w:rPr>
        <w:rFonts w:ascii="Expert Sans Regular" w:hAnsi="Expert Sans Regular"/>
        <w:color w:val="000000"/>
        <w:sz w:val="20"/>
      </w:rPr>
      <w:fldChar w:fldCharType="begin" w:fldLock="1"/>
    </w:r>
    <w:r>
      <w:rPr>
        <w:rFonts w:ascii="Expert Sans Regular" w:hAnsi="Expert Sans Regular"/>
        <w:color w:val="000000"/>
        <w:sz w:val="20"/>
      </w:rPr>
      <w:instrText xml:space="preserve"> DOCPROPERTY bjFooterFirstPageDocProperty \* MERGEFORMAT </w:instrText>
    </w:r>
    <w:r>
      <w:rPr>
        <w:rFonts w:ascii="Expert Sans Regular" w:hAnsi="Expert Sans Regular"/>
        <w:color w:val="000000"/>
        <w:sz w:val="20"/>
      </w:rPr>
      <w:fldChar w:fldCharType="separate"/>
    </w:r>
    <w:r w:rsidR="00972D9A" w:rsidRPr="00972D9A">
      <w:rPr>
        <w:rFonts w:ascii="Expert Sans Regular" w:hAnsi="Expert Sans Regular"/>
        <w:color w:val="000000"/>
        <w:sz w:val="20"/>
      </w:rPr>
      <w:t xml:space="preserve"> Restricted - Internal</w:t>
    </w:r>
    <w:r>
      <w:rPr>
        <w:rFonts w:ascii="Expert Sans Regular" w:hAnsi="Expert Sans Regular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D6" w:rsidRDefault="007E7CD6" w:rsidP="007E7CD6">
      <w:r>
        <w:separator/>
      </w:r>
    </w:p>
  </w:footnote>
  <w:footnote w:type="continuationSeparator" w:id="0">
    <w:p w:rsidR="007E7CD6" w:rsidRDefault="007E7CD6" w:rsidP="007E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4B8E"/>
    <w:multiLevelType w:val="hybridMultilevel"/>
    <w:tmpl w:val="B16A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443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8F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05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41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66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AC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EE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09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1384"/>
    <w:multiLevelType w:val="hybridMultilevel"/>
    <w:tmpl w:val="DA44F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22A"/>
    <w:multiLevelType w:val="multilevel"/>
    <w:tmpl w:val="E9E211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C361A83"/>
    <w:multiLevelType w:val="hybridMultilevel"/>
    <w:tmpl w:val="8ABCD294"/>
    <w:lvl w:ilvl="0" w:tplc="21F66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xpert Sans Regular" w:hAnsi="Expert Sans Regular" w:hint="default"/>
      </w:rPr>
    </w:lvl>
    <w:lvl w:ilvl="1" w:tplc="56FA366C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xpert Sans Regular" w:hAnsi="Expert Sans Regular" w:hint="default"/>
      </w:rPr>
    </w:lvl>
    <w:lvl w:ilvl="2" w:tplc="4A62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xpert Sans Regular" w:hAnsi="Expert Sans Regular" w:hint="default"/>
      </w:rPr>
    </w:lvl>
    <w:lvl w:ilvl="3" w:tplc="DB3C3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xpert Sans Regular" w:hAnsi="Expert Sans Regular" w:hint="default"/>
      </w:rPr>
    </w:lvl>
    <w:lvl w:ilvl="4" w:tplc="6400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xpert Sans Regular" w:hAnsi="Expert Sans Regular" w:hint="default"/>
      </w:rPr>
    </w:lvl>
    <w:lvl w:ilvl="5" w:tplc="E8128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xpert Sans Regular" w:hAnsi="Expert Sans Regular" w:hint="default"/>
      </w:rPr>
    </w:lvl>
    <w:lvl w:ilvl="6" w:tplc="26B08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xpert Sans Regular" w:hAnsi="Expert Sans Regular" w:hint="default"/>
      </w:rPr>
    </w:lvl>
    <w:lvl w:ilvl="7" w:tplc="C2EC9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xpert Sans Regular" w:hAnsi="Expert Sans Regular" w:hint="default"/>
      </w:rPr>
    </w:lvl>
    <w:lvl w:ilvl="8" w:tplc="88C6A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xpert Sans Regular" w:hAnsi="Expert Sans Regular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D6"/>
    <w:rsid w:val="00271E86"/>
    <w:rsid w:val="00716106"/>
    <w:rsid w:val="007E7CD6"/>
    <w:rsid w:val="00807973"/>
    <w:rsid w:val="00972D9A"/>
    <w:rsid w:val="00AA36E6"/>
    <w:rsid w:val="00C32921"/>
    <w:rsid w:val="00E01D37"/>
    <w:rsid w:val="00E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690DD81-CF7C-46F0-8887-5AD3DD9E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D6"/>
    <w:pPr>
      <w:spacing w:after="0" w:line="240" w:lineRule="auto"/>
    </w:pPr>
    <w:rPr>
      <w:rFonts w:ascii="Arial" w:eastAsia="Times New Roman" w:hAnsi="Arial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E7CD6"/>
    <w:pPr>
      <w:keepNext/>
      <w:tabs>
        <w:tab w:val="left" w:pos="142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360"/>
      <w:jc w:val="both"/>
      <w:outlineLvl w:val="0"/>
    </w:pPr>
    <w:rPr>
      <w:b/>
      <w:snapToGrid w:val="0"/>
      <w:color w:val="00800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E7CD6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E7CD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E7CD6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7E7CD6"/>
    <w:pPr>
      <w:keepNext/>
      <w:numPr>
        <w:ilvl w:val="5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Courier" w:hAnsi="Courier"/>
      <w:b/>
      <w:color w:val="0000FF"/>
      <w:u w:val="single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7E7CD6"/>
    <w:pPr>
      <w:keepNext/>
      <w:numPr>
        <w:ilvl w:val="6"/>
        <w:numId w:val="1"/>
      </w:numPr>
      <w:spacing w:before="60" w:line="264" w:lineRule="auto"/>
      <w:jc w:val="both"/>
      <w:outlineLvl w:val="6"/>
    </w:pPr>
    <w:rPr>
      <w:rFonts w:ascii="Courier" w:hAnsi="Courier"/>
      <w:i/>
      <w:u w:val="single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7E7CD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E7CD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7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CD6"/>
  </w:style>
  <w:style w:type="paragraph" w:styleId="Footer">
    <w:name w:val="footer"/>
    <w:basedOn w:val="Normal"/>
    <w:link w:val="FooterChar"/>
    <w:uiPriority w:val="99"/>
    <w:semiHidden/>
    <w:unhideWhenUsed/>
    <w:rsid w:val="007E7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CD6"/>
  </w:style>
  <w:style w:type="character" w:customStyle="1" w:styleId="Heading1Char">
    <w:name w:val="Heading 1 Char"/>
    <w:basedOn w:val="DefaultParagraphFont"/>
    <w:link w:val="Heading1"/>
    <w:rsid w:val="007E7CD6"/>
    <w:rPr>
      <w:rFonts w:ascii="Arial" w:eastAsia="Times New Roman" w:hAnsi="Arial" w:cs="Times New Roman"/>
      <w:b/>
      <w:snapToGrid w:val="0"/>
      <w:color w:val="008000"/>
      <w:szCs w:val="20"/>
    </w:rPr>
  </w:style>
  <w:style w:type="character" w:customStyle="1" w:styleId="Heading3Char">
    <w:name w:val="Heading 3 Char"/>
    <w:basedOn w:val="DefaultParagraphFont"/>
    <w:link w:val="Heading3"/>
    <w:rsid w:val="007E7CD6"/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7E7CD6"/>
    <w:rPr>
      <w:rFonts w:ascii="Arial" w:eastAsia="Times New Roman" w:hAnsi="Arial" w:cs="Times New Roman"/>
      <w:b/>
      <w:sz w:val="24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7E7CD6"/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7E7CD6"/>
    <w:rPr>
      <w:rFonts w:ascii="Courier" w:eastAsia="Times New Roman" w:hAnsi="Courier" w:cs="Times New Roman"/>
      <w:b/>
      <w:color w:val="0000FF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7CD6"/>
    <w:rPr>
      <w:rFonts w:ascii="Courier" w:eastAsia="Times New Roman" w:hAnsi="Courier" w:cs="Times New Roman"/>
      <w:i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7E7CD6"/>
    <w:rPr>
      <w:rFonts w:ascii="Arial" w:eastAsia="Times New Roman" w:hAnsi="Arial" w:cs="Times New Roman"/>
      <w:i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7E7CD6"/>
    <w:rPr>
      <w:rFonts w:ascii="Arial" w:eastAsia="Times New Roman" w:hAnsi="Arial" w:cs="Times New Roman"/>
      <w:b/>
      <w:i/>
      <w:sz w:val="18"/>
      <w:szCs w:val="20"/>
      <w:lang w:eastAsia="ja-JP"/>
    </w:rPr>
  </w:style>
  <w:style w:type="paragraph" w:styleId="BodyText">
    <w:name w:val="Body Text"/>
    <w:basedOn w:val="Normal"/>
    <w:link w:val="BodyTextChar"/>
    <w:rsid w:val="007E7CD6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64" w:lineRule="auto"/>
      <w:jc w:val="both"/>
    </w:pPr>
    <w:rPr>
      <w:rFonts w:ascii="Courier" w:hAnsi="Courier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E7CD6"/>
    <w:rPr>
      <w:rFonts w:ascii="Courier" w:eastAsia="Times New Roman" w:hAnsi="Courie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8a348640-5644-4662-8c16-79acebad230b" value=""/>
</sisl>
</file>

<file path=customXml/itemProps1.xml><?xml version="1.0" encoding="utf-8"?>
<ds:datastoreItem xmlns:ds="http://schemas.openxmlformats.org/officeDocument/2006/customXml" ds:itemID="{9838772A-588E-44EB-B35E-B463838429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>Barclays Capital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sutariar</dc:creator>
  <cp:lastModifiedBy>kumapoon</cp:lastModifiedBy>
  <cp:revision>3</cp:revision>
  <cp:lastPrinted>2018-06-29T09:20:00Z</cp:lastPrinted>
  <dcterms:created xsi:type="dcterms:W3CDTF">2019-04-18T06:54:00Z</dcterms:created>
  <dcterms:modified xsi:type="dcterms:W3CDTF">2019-04-18T06:54:00Z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e9ed7272-2fa6-46f1-b3d6-4666025d9a48</vt:lpwstr>
  </property>
  <property fmtid="{D5CDD505-2E9C-101B-9397-08002B2CF9AE}" pid="3" name="bjSaver">
    <vt:lpwstr>t3Fn7tUkxV1T6M+PfJ5cYi2IHNTFDmar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5" name="bjDocumentLabelXML-0">
    <vt:lpwstr>ames.com/2008/01/sie/internal/label"&gt;&lt;element uid="8a348640-5644-4662-8c16-79acebad230b" value="" /&gt;&lt;/sisl&gt;</vt:lpwstr>
  </property>
  <property fmtid="{D5CDD505-2E9C-101B-9397-08002B2CF9AE}" pid="6" name="bjDocumentSecurityLabel">
    <vt:lpwstr>Restricted - Internal</vt:lpwstr>
  </property>
  <property fmtid="{D5CDD505-2E9C-101B-9397-08002B2CF9AE}" pid="7" name="bjFooterBothDocProperty">
    <vt:lpwstr> Restricted - Internal</vt:lpwstr>
  </property>
  <property fmtid="{D5CDD505-2E9C-101B-9397-08002B2CF9AE}" pid="8" name="bjFooterFirstPageDocProperty">
    <vt:lpwstr> Restricted - Internal</vt:lpwstr>
  </property>
  <property fmtid="{D5CDD505-2E9C-101B-9397-08002B2CF9AE}" pid="9" name="bjFooterEvenPageDocProperty">
    <vt:lpwstr> Restricted - Internal</vt:lpwstr>
  </property>
  <property fmtid="{D5CDD505-2E9C-101B-9397-08002B2CF9AE}" pid="10" name="MSIP_Label_c754cbb2-29ed-4ffe-af90-a08465e0dd2c_Enabled">
    <vt:lpwstr>True</vt:lpwstr>
  </property>
  <property fmtid="{D5CDD505-2E9C-101B-9397-08002B2CF9AE}" pid="11" name="MSIP_Label_c754cbb2-29ed-4ffe-af90-a08465e0dd2c_SiteId">
    <vt:lpwstr>c4b62f1d-01e0-4107-a0cc-5ac886858b23</vt:lpwstr>
  </property>
  <property fmtid="{D5CDD505-2E9C-101B-9397-08002B2CF9AE}" pid="12" name="MSIP_Label_c754cbb2-29ed-4ffe-af90-a08465e0dd2c_Owner">
    <vt:lpwstr>Poonam.Kumari@barclayscapital.com</vt:lpwstr>
  </property>
  <property fmtid="{D5CDD505-2E9C-101B-9397-08002B2CF9AE}" pid="13" name="MSIP_Label_c754cbb2-29ed-4ffe-af90-a08465e0dd2c_SetDate">
    <vt:lpwstr>2019-04-18T06:53:51.7792164Z</vt:lpwstr>
  </property>
  <property fmtid="{D5CDD505-2E9C-101B-9397-08002B2CF9AE}" pid="14" name="MSIP_Label_c754cbb2-29ed-4ffe-af90-a08465e0dd2c_Name">
    <vt:lpwstr>Unrestricted</vt:lpwstr>
  </property>
  <property fmtid="{D5CDD505-2E9C-101B-9397-08002B2CF9AE}" pid="15" name="MSIP_Label_c754cbb2-29ed-4ffe-af90-a08465e0dd2c_Application">
    <vt:lpwstr>Microsoft Azure Information Protection</vt:lpwstr>
  </property>
  <property fmtid="{D5CDD505-2E9C-101B-9397-08002B2CF9AE}" pid="16" name="MSIP_Label_c754cbb2-29ed-4ffe-af90-a08465e0dd2c_Extended_MSFT_Method">
    <vt:lpwstr>Manual</vt:lpwstr>
  </property>
  <property fmtid="{D5CDD505-2E9C-101B-9397-08002B2CF9AE}" pid="17" name="barclaysdc">
    <vt:lpwstr>Unrestricted</vt:lpwstr>
  </property>
</Properties>
</file>